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 xml:space="preserve">Council 3     Notes 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>Several resolutions and information items and reports - all reported as separate documents here</w:t>
      </w:r>
    </w:p>
    <w:p>
      <w:pPr>
        <w:pStyle w:val="Body 2"/>
        <w:bidi w:val="0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</w:t>
      </w:r>
      <w:r>
        <w:rPr>
          <w:b w:val="1"/>
          <w:bCs w:val="1"/>
          <w:sz w:val="22"/>
          <w:szCs w:val="22"/>
          <w:rtl w:val="0"/>
          <w:lang w:val="en-US"/>
        </w:rPr>
        <w:t>ntellectual freedom</w:t>
      </w:r>
      <w:r>
        <w:rPr>
          <w:sz w:val="22"/>
          <w:szCs w:val="22"/>
          <w:rtl w:val="0"/>
          <w:lang w:val="en-US"/>
        </w:rPr>
        <w:t xml:space="preserve">  - (separate reports att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d) - Is a committee, and limited as such in what they can/can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t do.  Actions that are relevant to the work can be accomplished through the </w:t>
      </w:r>
      <w:r>
        <w:rPr>
          <w:b w:val="1"/>
          <w:bCs w:val="1"/>
          <w:sz w:val="22"/>
          <w:szCs w:val="22"/>
          <w:rtl w:val="0"/>
          <w:lang w:val="en-US"/>
        </w:rPr>
        <w:t xml:space="preserve">Freedom to Read Foundation </w:t>
      </w:r>
      <w:r>
        <w:rPr>
          <w:sz w:val="22"/>
          <w:szCs w:val="22"/>
          <w:rtl w:val="0"/>
          <w:lang w:val="en-US"/>
        </w:rPr>
        <w:t xml:space="preserve">(which is 501C3) in order to do the work of filings, signing on to cases, etc., in legal proceedings and national issues in their brief.   </w:t>
      </w:r>
    </w:p>
    <w:p>
      <w:pPr>
        <w:pStyle w:val="Body"/>
        <w:bidi w:val="0"/>
      </w:pPr>
    </w:p>
    <w:p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ALA Treasurer Susan Hildreth presented the treasurer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 xml:space="preserve">s report (CD#13.1), which includes the addition of 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en-US"/>
        </w:rPr>
        <w:t>equity, diversity, and inclusion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  <w:lang w:val="en-US"/>
        </w:rPr>
        <w:t>as a fourth strategic direction for ALA (in addition to advocacy, information policy, and professional and leadership development). The motion passed.</w:t>
      </w:r>
    </w:p>
    <w:p>
      <w:pPr>
        <w:pStyle w:val="Body"/>
        <w:spacing w:before="0" w:line="240" w:lineRule="auto"/>
        <w:rPr>
          <w:sz w:val="22"/>
          <w:szCs w:val="22"/>
        </w:rPr>
      </w:pPr>
    </w:p>
    <w:p>
      <w:pPr>
        <w:pStyle w:val="Body"/>
        <w:spacing w:before="0" w:line="240" w:lineRule="auto"/>
        <w:rPr>
          <w:sz w:val="22"/>
          <w:szCs w:val="22"/>
        </w:rPr>
      </w:pPr>
    </w:p>
    <w:p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Councilors Chris Corrigan and Mike Marlin submitted a report by the ALA Conference Accessibility Task Force (CD#37) as an information item.</w:t>
      </w:r>
    </w:p>
    <w:p>
      <w:pPr>
        <w:pStyle w:val="Body"/>
        <w:spacing w:before="0" w:line="240" w:lineRule="auto"/>
        <w:rPr>
          <w:sz w:val="22"/>
          <w:szCs w:val="22"/>
        </w:rPr>
      </w:pPr>
    </w:p>
    <w:p>
      <w:pPr>
        <w:pStyle w:val="Body"/>
        <w:spacing w:before="0" w:line="240" w:lineRule="auto"/>
        <w:rPr>
          <w:sz w:val="22"/>
          <w:szCs w:val="22"/>
        </w:rPr>
      </w:pPr>
    </w:p>
    <w:p>
      <w:pPr>
        <w:pStyle w:val="Body"/>
        <w:spacing w:before="0" w:line="240" w:lineRule="auto"/>
      </w:pPr>
      <w:r>
        <w:rPr>
          <w:sz w:val="22"/>
          <w:szCs w:val="22"/>
          <w:rtl w:val="0"/>
          <w:lang w:val="en-US"/>
        </w:rPr>
        <w:t>ALA Executive Director Keith Michael Fiels reported on the final registration totals for the Midwinter Meeting in Atlanta: 5,410 attendees, 2,916 exhibitors, and 669 complimentary passes, for a total of 8,995 registrants. This compares with 11,681 registrants for Boston in 2016 and 11,497 registrants for Chicago in 2015.</w:t>
      </w:r>
      <w:r>
        <w:rPr>
          <w:sz w:val="22"/>
          <w:szCs w:val="22"/>
          <w:rtl w:val="0"/>
          <w:lang w:val="en-US"/>
        </w:rPr>
        <w:t>Subject</w:t>
      </w: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Tuesday, January 24, 2017</w:t>
    </w:r>
    <w:r>
      <w:rPr/>
      <w:fldChar w:fldCharType="end" w:fldLock="1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